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w:hAnsi="Arial" w:cs="Arial"/>
        </w:rPr>
      </w:pPr>
      <w:r>
        <w:rPr>
          <w:rFonts w:cs="Arial" w:ascii="Arial" w:hAnsi="Arial"/>
        </w:rPr>
      </w:r>
    </w:p>
    <w:p>
      <w:pPr>
        <w:pStyle w:val="Cmsor3"/>
        <w:rPr>
          <w:rFonts w:ascii="Arial" w:hAnsi="Arial" w:cs="Arial"/>
          <w:sz w:val="24"/>
        </w:rPr>
      </w:pPr>
      <w:r>
        <w:rPr>
          <w:rFonts w:cs="Arial" w:ascii="Arial" w:hAnsi="Arial"/>
          <w:sz w:val="24"/>
        </w:rPr>
        <w:t>"B" TÍPUSÚ PÁLYÁZATI KIÍRÁS</w:t>
      </w:r>
    </w:p>
    <w:p>
      <w:pPr>
        <w:pStyle w:val="Normal"/>
        <w:jc w:val="both"/>
        <w:rPr>
          <w:rFonts w:ascii="Arial" w:hAnsi="Arial" w:cs="Arial"/>
        </w:rPr>
      </w:pPr>
      <w:r>
        <w:rPr>
          <w:rFonts w:cs="Arial" w:ascii="Arial" w:hAnsi="Arial"/>
        </w:rPr>
      </w:r>
    </w:p>
    <w:p>
      <w:pPr>
        <w:pStyle w:val="Normal"/>
        <w:jc w:val="center"/>
        <w:rPr>
          <w:rFonts w:ascii="Arial" w:hAnsi="Arial" w:cs="Arial"/>
          <w:b/>
          <w:b/>
          <w:bCs/>
        </w:rPr>
      </w:pPr>
      <w:r>
        <w:rPr>
          <w:rFonts w:cs="Arial" w:ascii="Arial" w:hAnsi="Arial"/>
          <w:b/>
          <w:bCs/>
        </w:rPr>
        <w:t xml:space="preserve">Devecser Város Önkormányzata az Innovációs és Technológiai Minisztériummal </w:t>
      </w:r>
    </w:p>
    <w:p>
      <w:pPr>
        <w:pStyle w:val="Normal"/>
        <w:jc w:val="center"/>
        <w:rPr>
          <w:rFonts w:ascii="Arial" w:hAnsi="Arial" w:cs="Arial"/>
          <w:b/>
          <w:b/>
          <w:bCs/>
        </w:rPr>
      </w:pPr>
      <w:r>
        <w:rPr>
          <w:rFonts w:cs="Arial" w:ascii="Arial" w:hAnsi="Arial"/>
          <w:b/>
          <w:bCs/>
        </w:rPr>
        <w:t>együttműködve, az 51/2007. (III. 26.) Kormányrendelet alapján</w:t>
        <w:br/>
        <w:t xml:space="preserve"> ezennel kiírja a 2022. évre </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tanulmányokat kezdeni kívánó fiatalok számára,</w:t>
      </w:r>
    </w:p>
    <w:p>
      <w:pPr>
        <w:pStyle w:val="Normal"/>
        <w:jc w:val="center"/>
        <w:rPr>
          <w:rFonts w:ascii="Arial" w:hAnsi="Arial" w:cs="Arial"/>
          <w:b/>
          <w:b/>
          <w:bCs/>
        </w:rPr>
      </w:pPr>
      <w:r>
        <w:rPr>
          <w:rFonts w:cs="Arial" w:ascii="Arial" w:hAnsi="Arial"/>
          <w:b/>
          <w:bCs/>
        </w:rPr>
        <w:t>összhangban</w:t>
      </w:r>
    </w:p>
    <w:p>
      <w:pPr>
        <w:pStyle w:val="Normal"/>
        <w:jc w:val="center"/>
        <w:rPr>
          <w:rFonts w:ascii="Arial" w:hAnsi="Arial" w:cs="Arial"/>
          <w:b/>
          <w:b/>
          <w:bCs/>
        </w:rPr>
      </w:pPr>
      <w:r>
        <w:rPr>
          <w:rFonts w:cs="Arial" w:ascii="Arial" w:hAnsi="Arial"/>
          <w:b/>
          <w:bCs/>
        </w:rPr>
        <w:t xml:space="preserve"> </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5"/>
        </w:numPr>
        <w:jc w:val="both"/>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5"/>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ListParagraph"/>
        <w:numPr>
          <w:ilvl w:val="0"/>
          <w:numId w:val="5"/>
        </w:numPr>
        <w:jc w:val="both"/>
        <w:rPr>
          <w:rFonts w:ascii="Arial" w:hAnsi="Arial" w:cs="Arial"/>
          <w:sz w:val="22"/>
          <w:szCs w:val="22"/>
        </w:rPr>
      </w:pPr>
      <w:r>
        <w:rPr>
          <w:rFonts w:cs="Arial" w:ascii="Arial" w:hAnsi="Arial"/>
          <w:sz w:val="22"/>
          <w:szCs w:val="22"/>
        </w:rPr>
        <w:t>az elektronikus ügyintézés és a bizalmi szolgáltatások általános szabályairól szóló 2015. évi CCXXII. törvény</w:t>
      </w:r>
    </w:p>
    <w:p>
      <w:pPr>
        <w:pStyle w:val="ListParagraph"/>
        <w:numPr>
          <w:ilvl w:val="0"/>
          <w:numId w:val="5"/>
        </w:numPr>
        <w:jc w:val="both"/>
        <w:rPr>
          <w:rFonts w:ascii="Arial" w:hAnsi="Arial" w:cs="Arial"/>
          <w:sz w:val="22"/>
          <w:szCs w:val="22"/>
        </w:rPr>
      </w:pPr>
      <w:r>
        <w:rPr>
          <w:rFonts w:cs="Arial" w:ascii="Arial" w:hAnsi="Arial"/>
          <w:sz w:val="22"/>
          <w:szCs w:val="22"/>
        </w:rPr>
        <w:t>az elektronikus ügyintézés részletszabályairól szóló 451/2016. (XII. 19.) Korm. rendelet</w:t>
      </w:r>
    </w:p>
    <w:p>
      <w:pPr>
        <w:pStyle w:val="ListParagraph"/>
        <w:numPr>
          <w:ilvl w:val="0"/>
          <w:numId w:val="5"/>
        </w:numPr>
        <w:jc w:val="both"/>
        <w:rPr>
          <w:rFonts w:ascii="Arial" w:hAnsi="Arial" w:cs="Arial"/>
          <w:sz w:val="22"/>
          <w:szCs w:val="22"/>
        </w:rPr>
      </w:pPr>
      <w:r>
        <w:rPr>
          <w:rFonts w:cs="Arial" w:ascii="Arial" w:hAnsi="Arial"/>
          <w:sz w:val="22"/>
          <w:szCs w:val="22"/>
        </w:rPr>
        <w:t>az információs önrendelkezési jogról és az információszabadságról szóló 2011. évi CXII. törvény</w:t>
      </w:r>
    </w:p>
    <w:p>
      <w:pPr>
        <w:pStyle w:val="ListParagraph"/>
        <w:numPr>
          <w:ilvl w:val="0"/>
          <w:numId w:val="5"/>
        </w:numPr>
        <w:jc w:val="both"/>
        <w:rPr>
          <w:rFonts w:ascii="Arial" w:hAnsi="Arial" w:cs="Arial"/>
          <w:sz w:val="22"/>
          <w:szCs w:val="22"/>
        </w:rPr>
      </w:pPr>
      <w:r>
        <w:rPr>
          <w:rFonts w:cs="Arial" w:ascii="Arial" w:hAnsi="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pPr>
        <w:pStyle w:val="ListParagraph"/>
        <w:numPr>
          <w:ilvl w:val="0"/>
          <w:numId w:val="5"/>
        </w:numPr>
        <w:jc w:val="both"/>
        <w:rPr>
          <w:rFonts w:ascii="Arial" w:hAnsi="Arial" w:cs="Arial"/>
          <w:sz w:val="22"/>
          <w:szCs w:val="22"/>
        </w:rPr>
      </w:pPr>
      <w:r>
        <w:rPr>
          <w:rFonts w:cs="Arial" w:ascii="Arial" w:hAnsi="Arial"/>
          <w:sz w:val="22"/>
          <w:szCs w:val="22"/>
        </w:rPr>
        <w:t xml:space="preserve">a Büntető Törvénykönyvről szóló 2012. évi C. törvény (Btk), </w:t>
      </w:r>
    </w:p>
    <w:p>
      <w:pPr>
        <w:pStyle w:val="ListParagraph"/>
        <w:numPr>
          <w:ilvl w:val="0"/>
          <w:numId w:val="5"/>
        </w:numPr>
        <w:jc w:val="both"/>
        <w:rPr>
          <w:rFonts w:ascii="Arial" w:hAnsi="Arial" w:cs="Arial"/>
          <w:sz w:val="22"/>
          <w:szCs w:val="22"/>
        </w:rPr>
      </w:pPr>
      <w:r>
        <w:rPr>
          <w:rFonts w:cs="Arial" w:ascii="Arial" w:hAnsi="Arial"/>
          <w:sz w:val="22"/>
          <w:szCs w:val="22"/>
        </w:rPr>
        <w:t>a közfeladatot ellátó közérdekű vagyonkezelő alapítványokról szóló 2021. évi IX. törvény</w:t>
      </w:r>
    </w:p>
    <w:p>
      <w:pPr>
        <w:pStyle w:val="ListParagraph"/>
        <w:ind w:left="1077" w:hanging="0"/>
        <w:jc w:val="both"/>
        <w:rPr>
          <w:rFonts w:ascii="Arial" w:hAnsi="Arial" w:cs="Arial"/>
          <w:sz w:val="22"/>
          <w:szCs w:val="22"/>
        </w:rPr>
      </w:pPr>
      <w:r>
        <w:rPr>
          <w:rFonts w:cs="Arial" w:ascii="Arial" w:hAnsi="Arial"/>
          <w:sz w:val="22"/>
          <w:szCs w:val="22"/>
        </w:rPr>
      </w:r>
    </w:p>
    <w:p>
      <w:pPr>
        <w:pStyle w:val="Default"/>
        <w:spacing w:lineRule="auto" w:line="276"/>
        <w:jc w:val="both"/>
        <w:rPr>
          <w:rFonts w:ascii="Arial" w:hAnsi="Arial" w:cs="Arial"/>
          <w:color w:val="auto"/>
          <w:sz w:val="22"/>
          <w:szCs w:val="22"/>
        </w:rPr>
      </w:pPr>
      <w:r>
        <w:rPr>
          <w:rFonts w:cs="Arial" w:ascii="Arial" w:hAnsi="Arial"/>
          <w:color w:val="auto"/>
          <w:sz w:val="22"/>
          <w:szCs w:val="22"/>
        </w:rPr>
        <w:t>vonatkozó rendelkezéseivel.</w:t>
      </w:r>
    </w:p>
    <w:p>
      <w:pPr>
        <w:pStyle w:val="Default"/>
        <w:spacing w:lineRule="auto" w:line="276"/>
        <w:jc w:val="both"/>
        <w:rPr>
          <w:rFonts w:ascii="Arial" w:hAnsi="Arial" w:cs="Arial"/>
          <w:color w:val="auto"/>
          <w:sz w:val="22"/>
          <w:szCs w:val="22"/>
        </w:rPr>
      </w:pPr>
      <w:r>
        <w:rPr>
          <w:rFonts w:cs="Arial" w:ascii="Arial" w:hAnsi="Arial"/>
          <w:color w:val="auto"/>
          <w:sz w:val="22"/>
          <w:szCs w:val="22"/>
        </w:rPr>
      </w:r>
    </w:p>
    <w:p>
      <w:pPr>
        <w:pStyle w:val="ListParagraph"/>
        <w:numPr>
          <w:ilvl w:val="0"/>
          <w:numId w:val="6"/>
        </w:numPr>
        <w:ind w:left="284" w:hanging="284"/>
        <w:jc w:val="both"/>
        <w:rPr>
          <w:rFonts w:ascii="Arial" w:hAnsi="Arial" w:cs="Arial"/>
          <w:b/>
          <w:b/>
          <w:sz w:val="22"/>
          <w:szCs w:val="22"/>
        </w:rPr>
      </w:pPr>
      <w:r>
        <w:rPr>
          <w:rFonts w:cs="Arial" w:ascii="Arial" w:hAnsi="Arial"/>
          <w:b/>
          <w:sz w:val="22"/>
          <w:szCs w:val="22"/>
        </w:rPr>
        <w:t>A pályázat célja</w:t>
      </w:r>
    </w:p>
    <w:p>
      <w:pPr>
        <w:pStyle w:val="ListParagraph"/>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 rendelet (a továbbiakban: </w:t>
      </w:r>
      <w:r>
        <w:rPr>
          <w:rFonts w:cs="Arial" w:ascii="Arial" w:hAnsi="Arial"/>
          <w:b/>
          <w:sz w:val="22"/>
          <w:szCs w:val="22"/>
        </w:rPr>
        <w:t xml:space="preserve">51/2007. (III. 26.) Korm. rendelet) </w:t>
      </w:r>
      <w:r>
        <w:rPr>
          <w:rFonts w:cs="Arial" w:ascii="Arial" w:hAnsi="Arial"/>
          <w:b/>
          <w:bCs/>
          <w:i/>
          <w:sz w:val="22"/>
          <w:szCs w:val="22"/>
          <w:lang w:eastAsia="en-US"/>
        </w:rPr>
        <w:t xml:space="preserve">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numPr>
          <w:ilvl w:val="0"/>
          <w:numId w:val="4"/>
        </w:numPr>
        <w:ind w:left="284" w:hanging="284"/>
        <w:jc w:val="both"/>
        <w:rPr>
          <w:rFonts w:ascii="Arial" w:hAnsi="Arial" w:cs="Arial"/>
          <w:b/>
          <w:b/>
          <w:sz w:val="22"/>
          <w:szCs w:val="22"/>
        </w:rPr>
      </w:pPr>
      <w:r>
        <w:rPr>
          <w:rFonts w:cs="Arial" w:ascii="Arial" w:hAnsi="Arial"/>
          <w:b/>
          <w:sz w:val="22"/>
          <w:szCs w:val="22"/>
        </w:rPr>
        <w:t>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 xml:space="preserve">A Bursa Hungarica Ösztöndíjban az 51/2007. (III.26.) Kormányrendelet 18. § (2) bekezdése alapján kizárólag a települési önkormányzat területén </w:t>
      </w:r>
      <w:r>
        <w:rPr>
          <w:rFonts w:cs="Arial" w:ascii="Arial" w:hAnsi="Arial"/>
          <w:b/>
          <w:sz w:val="22"/>
          <w:szCs w:val="22"/>
        </w:rPr>
        <w:t>állandó lakóhellyel</w:t>
      </w:r>
      <w:r>
        <w:rPr>
          <w:rFonts w:cs="Arial" w:ascii="Arial" w:hAnsi="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 hátrányos szociális helyzetű fiatalok</w:t>
      </w:r>
      <w:r>
        <w:rPr>
          <w:rFonts w:cs="Arial" w:ascii="Arial" w:hAnsi="Arial"/>
          <w:sz w:val="22"/>
          <w:szCs w:val="22"/>
        </w:rPr>
        <w:t xml:space="preserve"> jelentkezhetnek, akik: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a 2021/2022. tanévben utolsó éves, érettségi előtt álló középiskolások;</w:t>
      </w:r>
    </w:p>
    <w:p>
      <w:pPr>
        <w:pStyle w:val="Normal"/>
        <w:spacing w:before="120" w:after="0"/>
        <w:jc w:val="both"/>
        <w:rPr>
          <w:rFonts w:ascii="Arial" w:hAnsi="Arial" w:cs="Arial"/>
          <w:b/>
          <w:b/>
          <w:bCs/>
          <w:sz w:val="22"/>
          <w:szCs w:val="22"/>
        </w:rPr>
      </w:pPr>
      <w:r>
        <w:rPr>
          <w:rFonts w:cs="Arial" w:ascii="Arial" w:hAnsi="Arial"/>
          <w:b/>
          <w:bCs/>
          <w:sz w:val="22"/>
          <w:szCs w:val="22"/>
        </w:rPr>
        <w:t>vagy</w:t>
      </w:r>
    </w:p>
    <w:p>
      <w:pPr>
        <w:pStyle w:val="BodyText3"/>
        <w:spacing w:before="120" w:after="0"/>
        <w:rPr>
          <w:rFonts w:ascii="Arial" w:hAnsi="Arial" w:cs="Arial"/>
          <w:sz w:val="22"/>
          <w:szCs w:val="22"/>
        </w:rPr>
      </w:pPr>
      <w:r>
        <w:rPr>
          <w:rFonts w:cs="Arial" w:ascii="Arial" w:hAnsi="Arial"/>
          <w:sz w:val="22"/>
          <w:szCs w:val="22"/>
        </w:rPr>
        <w:t>b) felsőfokú végzettséggel nem rendelkező, felsőoktatási intézménybe még felvételt nem nyert érettségizettek;</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és </w:t>
      </w:r>
      <w:r>
        <w:rPr>
          <w:rFonts w:cs="Arial" w:ascii="Arial" w:hAnsi="Arial"/>
          <w:bCs/>
          <w:sz w:val="22"/>
          <w:szCs w:val="22"/>
        </w:rPr>
        <w:t>a</w:t>
      </w:r>
      <w:r>
        <w:rPr>
          <w:rFonts w:cs="Arial" w:ascii="Arial" w:hAnsi="Arial"/>
          <w:b/>
          <w:bCs/>
          <w:sz w:val="22"/>
          <w:szCs w:val="22"/>
        </w:rPr>
        <w:t xml:space="preserve"> 2022/2023. tanévtől kezdődően</w:t>
      </w:r>
      <w:r>
        <w:rPr>
          <w:rFonts w:cs="Arial" w:ascii="Arial" w:hAnsi="Arial"/>
          <w:sz w:val="22"/>
          <w:szCs w:val="22"/>
        </w:rPr>
        <w:t xml:space="preserve"> felsőoktatási intézmény keretében </w:t>
      </w:r>
      <w:r>
        <w:rPr>
          <w:rFonts w:cs="Arial" w:ascii="Arial" w:hAnsi="Arial"/>
          <w:b/>
          <w:bCs/>
          <w:sz w:val="22"/>
          <w:szCs w:val="22"/>
        </w:rPr>
        <w:t>teljes idejű (nappali munkarend</w:t>
      </w:r>
      <w:r>
        <w:rPr>
          <w:rFonts w:cs="Arial" w:ascii="Arial" w:hAnsi="Arial"/>
          <w:sz w:val="22"/>
          <w:szCs w:val="22"/>
        </w:rPr>
        <w:t>) alapfokozatot és szakképzettséget eredményező alapképzésben, osztatlan képzésben vagy felsőoktatási</w:t>
      </w:r>
      <w:r>
        <w:rPr>
          <w:rFonts w:cs="Arial" w:ascii="Arial" w:hAnsi="Arial"/>
          <w:color w:val="FF0000"/>
          <w:sz w:val="22"/>
          <w:szCs w:val="22"/>
        </w:rPr>
        <w:t xml:space="preserve"> </w:t>
      </w:r>
      <w:r>
        <w:rPr>
          <w:rFonts w:cs="Arial" w:ascii="Arial" w:hAnsi="Arial"/>
          <w:sz w:val="22"/>
          <w:szCs w:val="22"/>
        </w:rPr>
        <w:t xml:space="preserve">szakképzésben kívánnak részt venni.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sz w:val="22"/>
          <w:szCs w:val="22"/>
        </w:rPr>
        <w:t xml:space="preserve">Nem részesülhet ösztöndíjban az a pályázó, </w:t>
      </w:r>
      <w:r>
        <w:rPr>
          <w:rFonts w:cs="Arial" w:ascii="Arial" w:hAnsi="Arial"/>
          <w:b/>
          <w:bCs/>
          <w:sz w:val="22"/>
          <w:szCs w:val="22"/>
        </w:rPr>
        <w:t>aki:</w:t>
      </w:r>
    </w:p>
    <w:p>
      <w:pPr>
        <w:pStyle w:val="Normal"/>
        <w:numPr>
          <w:ilvl w:val="0"/>
          <w:numId w:val="1"/>
        </w:numPr>
        <w:jc w:val="both"/>
        <w:rPr>
          <w:rFonts w:ascii="Arial" w:hAnsi="Arial" w:cs="Arial"/>
          <w:bCs/>
          <w:sz w:val="22"/>
          <w:szCs w:val="22"/>
        </w:rPr>
      </w:pPr>
      <w:r>
        <w:rPr>
          <w:rFonts w:cs="Arial" w:ascii="Arial" w:hAnsi="Arial"/>
          <w:bCs/>
          <w:sz w:val="22"/>
          <w:szCs w:val="22"/>
        </w:rPr>
        <w:t>a Magyar Honvédség és a rendvédelmi feladatot ellátó szervek hivatásos és szerződéses állományú hallgatója</w:t>
      </w:r>
    </w:p>
    <w:p>
      <w:pPr>
        <w:pStyle w:val="Normal"/>
        <w:numPr>
          <w:ilvl w:val="0"/>
          <w:numId w:val="1"/>
        </w:numPr>
        <w:jc w:val="both"/>
        <w:rPr>
          <w:rFonts w:ascii="Arial" w:hAnsi="Arial" w:cs="Arial"/>
          <w:bCs/>
          <w:sz w:val="22"/>
          <w:szCs w:val="22"/>
        </w:rPr>
      </w:pPr>
      <w:r>
        <w:rPr>
          <w:rFonts w:cs="Arial" w:ascii="Arial" w:hAnsi="Arial"/>
          <w:bCs/>
          <w:sz w:val="22"/>
          <w:szCs w:val="22"/>
        </w:rPr>
        <w:t xml:space="preserve">doktori (PhD) képzésben vesz részt </w:t>
      </w:r>
    </w:p>
    <w:p>
      <w:pPr>
        <w:pStyle w:val="Normal"/>
        <w:numPr>
          <w:ilvl w:val="0"/>
          <w:numId w:val="1"/>
        </w:numPr>
        <w:jc w:val="both"/>
        <w:rPr>
          <w:rFonts w:ascii="Arial" w:hAnsi="Arial" w:cs="Arial"/>
          <w:bCs/>
          <w:sz w:val="22"/>
          <w:szCs w:val="22"/>
        </w:rPr>
      </w:pPr>
      <w:r>
        <w:rPr>
          <w:rFonts w:cs="Arial" w:ascii="Arial" w:hAnsi="Arial"/>
          <w:bCs/>
          <w:sz w:val="22"/>
          <w:szCs w:val="22"/>
        </w:rPr>
        <w:t>kizárólag külföldi intézménnyel áll hallgatói jogviszonyban és/vagy vendéghallgatói képzésben vesz részt.</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b/>
          <w:bCs/>
          <w:sz w:val="22"/>
          <w:szCs w:val="22"/>
        </w:rPr>
        <w:t xml:space="preserve">A pályázók közül csak azok részesülhetnek ösztöndíjban, akik </w:t>
      </w:r>
      <w:r>
        <w:rPr>
          <w:rFonts w:cs="Arial" w:ascii="Arial" w:hAnsi="Arial"/>
          <w:b/>
          <w:bCs/>
          <w:sz w:val="22"/>
          <w:szCs w:val="22"/>
          <w:u w:val="single"/>
        </w:rPr>
        <w:t>a 2022. évi felsőoktatási felvételi eljárásban először nyernek felvételt</w:t>
      </w:r>
      <w:r>
        <w:rPr>
          <w:rFonts w:cs="Arial" w:ascii="Arial" w:hAnsi="Arial"/>
          <w:b/>
          <w:bCs/>
          <w:sz w:val="22"/>
          <w:szCs w:val="22"/>
        </w:rPr>
        <w:t xml:space="preserve"> felsőoktatási intézménybe és tanulmányaikat a 2022/2023. tanévben ténylegesen megkezdik</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BodyText3"/>
        <w:numPr>
          <w:ilvl w:val="0"/>
          <w:numId w:val="4"/>
        </w:numPr>
        <w:ind w:left="426" w:hanging="360"/>
        <w:rPr>
          <w:rFonts w:ascii="Arial" w:hAnsi="Arial" w:cs="Arial"/>
          <w:sz w:val="22"/>
          <w:szCs w:val="22"/>
        </w:rPr>
      </w:pPr>
      <w:r>
        <w:rPr>
          <w:rFonts w:cs="Arial" w:ascii="Arial" w:hAnsi="Arial"/>
          <w:sz w:val="22"/>
          <w:szCs w:val="22"/>
        </w:rPr>
        <w:t>A pályázat benyújtásának módja és határideje</w:t>
      </w:r>
    </w:p>
    <w:p>
      <w:pPr>
        <w:pStyle w:val="BodyText3"/>
        <w:ind w:left="426" w:hanging="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Rendszerben (a továbbiakban: EPER-Bursa rendszer) egyszeri pályázói regisztráció szükséges, melynek elérése: </w:t>
      </w:r>
    </w:p>
    <w:p>
      <w:pPr>
        <w:pStyle w:val="Normal"/>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center"/>
        <w:rPr/>
      </w:pPr>
      <w:r>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b/>
          <w:b/>
          <w:bCs/>
          <w:sz w:val="22"/>
          <w:szCs w:val="22"/>
        </w:rPr>
      </w:pPr>
      <w:r>
        <w:rPr>
          <w:rFonts w:cs="Arial" w:ascii="Arial" w:hAnsi="Arial"/>
          <w:b/>
          <w:bCs/>
          <w:sz w:val="22"/>
          <w:szCs w:val="22"/>
        </w:rPr>
        <w:t>A pályázat rögzítésének és az önkormányzathoz történő benyújtásának</w:t>
      </w:r>
    </w:p>
    <w:p>
      <w:pPr>
        <w:pStyle w:val="Normal"/>
        <w:jc w:val="center"/>
        <w:rPr>
          <w:rFonts w:ascii="Arial" w:hAnsi="Arial" w:cs="Arial"/>
          <w:b/>
          <w:b/>
          <w:bCs/>
          <w:sz w:val="22"/>
          <w:szCs w:val="22"/>
        </w:rPr>
      </w:pPr>
      <w:r>
        <w:rPr>
          <w:rFonts w:cs="Arial" w:ascii="Arial" w:hAnsi="Arial"/>
          <w:b/>
          <w:bCs/>
          <w:sz w:val="22"/>
          <w:szCs w:val="22"/>
        </w:rPr>
        <w:t>határideje: 2021. november 5.</w:t>
      </w:r>
    </w:p>
    <w:p>
      <w:pPr>
        <w:pStyle w:val="Normal"/>
        <w:jc w:val="both"/>
        <w:rPr>
          <w:rFonts w:ascii="Arial" w:hAnsi="Arial" w:cs="Arial"/>
          <w:bCs/>
          <w:sz w:val="22"/>
          <w:szCs w:val="22"/>
        </w:rPr>
      </w:pPr>
      <w:r>
        <w:rPr>
          <w:rFonts w:cs="Arial" w:ascii="Arial" w:hAnsi="Arial"/>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sz w:val="22"/>
          <w:szCs w:val="22"/>
        </w:rPr>
      </w:pPr>
      <w:r>
        <w:rPr>
          <w:rFonts w:cs="Arial" w:ascii="Arial" w:hAnsi="Arial"/>
          <w:sz w:val="22"/>
          <w:szCs w:val="22"/>
        </w:rPr>
        <w:t xml:space="preserve"> </w:t>
      </w:r>
    </w:p>
    <w:p>
      <w:pPr>
        <w:pStyle w:val="Normal"/>
        <w:rPr>
          <w:rFonts w:ascii="Arial" w:hAnsi="Arial" w:cs="Arial"/>
          <w:b/>
          <w:b/>
          <w:bCs/>
          <w:sz w:val="22"/>
          <w:szCs w:val="22"/>
          <w:u w:val="single"/>
        </w:rPr>
      </w:pPr>
      <w:r>
        <w:rPr>
          <w:rFonts w:cs="Arial" w:ascii="Arial" w:hAnsi="Arial"/>
          <w:b/>
          <w:bCs/>
          <w:sz w:val="22"/>
          <w:szCs w:val="22"/>
          <w:u w:val="single"/>
        </w:rPr>
        <w:t>A pályázat kötelező mellékletei:</w:t>
      </w:r>
    </w:p>
    <w:p>
      <w:pPr>
        <w:pStyle w:val="Normal"/>
        <w:rPr>
          <w:rFonts w:ascii="Arial" w:hAnsi="Arial" w:cs="Arial"/>
          <w:b/>
          <w:b/>
          <w:bCs/>
          <w:sz w:val="22"/>
          <w:szCs w:val="22"/>
          <w:u w:val="single"/>
        </w:rPr>
      </w:pPr>
      <w:r>
        <w:rPr>
          <w:rFonts w:cs="Arial" w:ascii="Arial" w:hAnsi="Arial"/>
          <w:b/>
          <w:bCs/>
          <w:sz w:val="22"/>
          <w:szCs w:val="22"/>
          <w:u w:val="single"/>
        </w:rPr>
      </w:r>
    </w:p>
    <w:p>
      <w:pPr>
        <w:pStyle w:val="Normal"/>
        <w:jc w:val="both"/>
        <w:rPr>
          <w:rFonts w:ascii="Arial" w:hAnsi="Arial" w:cs="Arial"/>
          <w:b/>
          <w:b/>
          <w:bCs/>
          <w:sz w:val="22"/>
          <w:szCs w:val="22"/>
        </w:rPr>
      </w:pPr>
      <w:r>
        <w:rPr>
          <w:rFonts w:cs="Arial" w:ascii="Arial" w:hAnsi="Arial"/>
          <w:b/>
          <w:bCs/>
          <w:sz w:val="22"/>
          <w:szCs w:val="22"/>
        </w:rPr>
        <w:t>1.</w:t>
        <w:tab/>
        <w:t>Igazolás a pályázó és a pályázóval egy háztartásban élők egy főre jutó havi nettó jövedelméről.</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val="false"/>
          <w:bCs w:val="false"/>
          <w:sz w:val="22"/>
          <w:szCs w:val="22"/>
        </w:rPr>
        <w:t>A családban az egy főre jutó havi nettó jövedelem összege nem haladhatja meg a 1</w:t>
      </w:r>
      <w:r>
        <w:rPr>
          <w:rFonts w:cs="Arial" w:ascii="Arial" w:hAnsi="Arial"/>
          <w:b w:val="false"/>
          <w:bCs w:val="false"/>
          <w:sz w:val="22"/>
          <w:szCs w:val="22"/>
        </w:rPr>
        <w:t>8</w:t>
      </w:r>
      <w:r>
        <w:rPr>
          <w:rFonts w:cs="Arial" w:ascii="Arial" w:hAnsi="Arial"/>
          <w:b w:val="false"/>
          <w:bCs w:val="false"/>
          <w:sz w:val="22"/>
          <w:szCs w:val="22"/>
        </w:rPr>
        <w:t>0.000,-Ft-ot.</w:t>
      </w:r>
    </w:p>
    <w:p>
      <w:pPr>
        <w:pStyle w:val="Szvegtrzs"/>
        <w:rPr>
          <w:rFonts w:ascii="Arial" w:hAnsi="Arial" w:cs="Arial"/>
          <w:b/>
          <w:b/>
          <w:bCs/>
          <w:sz w:val="22"/>
          <w:szCs w:val="22"/>
        </w:rPr>
      </w:pPr>
      <w:r>
        <w:rPr>
          <w:rFonts w:cs="Arial" w:ascii="Arial" w:hAnsi="Arial"/>
          <w:b/>
          <w:bCs/>
          <w:sz w:val="22"/>
          <w:szCs w:val="22"/>
        </w:rPr>
      </w:r>
    </w:p>
    <w:p>
      <w:pPr>
        <w:pStyle w:val="Szvegtrzs"/>
        <w:rPr>
          <w:rFonts w:ascii="Arial" w:hAnsi="Arial" w:cs="Arial"/>
          <w:b/>
          <w:b/>
          <w:bCs/>
          <w:sz w:val="22"/>
          <w:szCs w:val="22"/>
        </w:rPr>
      </w:pPr>
      <w:r>
        <w:rPr>
          <w:rFonts w:cs="Arial" w:ascii="Arial" w:hAnsi="Arial"/>
          <w:b/>
          <w:bCs/>
          <w:sz w:val="22"/>
          <w:szCs w:val="22"/>
        </w:rPr>
        <w:t>2.</w:t>
        <w:tab/>
        <w:t>A szociális rászorultság igazolására az alábbi okiratok:</w:t>
      </w:r>
    </w:p>
    <w:p>
      <w:pPr>
        <w:pStyle w:val="Szvegtrzs"/>
        <w:rPr>
          <w:rFonts w:ascii="Arial" w:hAnsi="Arial" w:cs="Arial"/>
          <w:b/>
          <w:b/>
          <w:bCs/>
          <w:sz w:val="22"/>
          <w:szCs w:val="22"/>
        </w:rPr>
      </w:pPr>
      <w:r>
        <w:rPr>
          <w:rFonts w:cs="Arial" w:ascii="Arial" w:hAnsi="Arial"/>
          <w:b w:val="false"/>
          <w:bCs w:val="false"/>
          <w:sz w:val="22"/>
          <w:szCs w:val="22"/>
        </w:rPr>
        <w:t>- nyugdíjas esetén a pályázat benyújtását megelőző havi nyugdíj összegéről szóló igazolás (számlakivonat, postai szelvény),</w:t>
      </w:r>
    </w:p>
    <w:p>
      <w:pPr>
        <w:pStyle w:val="Szvegtrzs"/>
        <w:rPr>
          <w:rFonts w:ascii="Arial" w:hAnsi="Arial" w:cs="Arial"/>
          <w:b/>
          <w:b/>
          <w:bCs/>
          <w:sz w:val="22"/>
          <w:szCs w:val="22"/>
        </w:rPr>
      </w:pPr>
      <w:r>
        <w:rPr>
          <w:rFonts w:cs="Arial" w:ascii="Arial" w:hAnsi="Arial"/>
          <w:b w:val="false"/>
          <w:bCs w:val="false"/>
          <w:sz w:val="22"/>
          <w:szCs w:val="22"/>
        </w:rPr>
        <w:t>- vállalkozó esetén: az előző évi NAV igazolása, illetve a 2019. évi havi nettó bevételéről könyvelő által kiadott igazolás,</w:t>
      </w:r>
    </w:p>
    <w:p>
      <w:pPr>
        <w:pStyle w:val="Szvegtrzs"/>
        <w:rPr>
          <w:rFonts w:ascii="Arial" w:hAnsi="Arial" w:cs="Arial"/>
          <w:b/>
          <w:b/>
          <w:bCs/>
          <w:sz w:val="22"/>
          <w:szCs w:val="22"/>
        </w:rPr>
      </w:pPr>
      <w:r>
        <w:rPr>
          <w:rFonts w:cs="Arial" w:ascii="Arial" w:hAnsi="Arial"/>
          <w:b w:val="false"/>
          <w:bCs w:val="false"/>
          <w:sz w:val="22"/>
          <w:szCs w:val="22"/>
        </w:rPr>
        <w:t>- kereső esetén munkáltatói igazolás az utolsó havi nettó jövedelemről,</w:t>
      </w:r>
    </w:p>
    <w:p>
      <w:pPr>
        <w:pStyle w:val="Szvegtrzs"/>
        <w:rPr>
          <w:rFonts w:ascii="Arial" w:hAnsi="Arial" w:cs="Arial"/>
          <w:b/>
          <w:b/>
          <w:bCs/>
          <w:sz w:val="22"/>
          <w:szCs w:val="22"/>
        </w:rPr>
      </w:pPr>
      <w:r>
        <w:rPr>
          <w:rFonts w:cs="Arial" w:ascii="Arial" w:hAnsi="Arial"/>
          <w:b w:val="false"/>
          <w:bCs w:val="false"/>
          <w:sz w:val="22"/>
          <w:szCs w:val="22"/>
        </w:rPr>
        <w:t>- munkanélküli esetén a foglalkoztatási osztály igazolása,</w:t>
      </w:r>
    </w:p>
    <w:p>
      <w:pPr>
        <w:pStyle w:val="Szvegtrzs"/>
        <w:rPr>
          <w:rFonts w:ascii="Arial" w:hAnsi="Arial" w:cs="Arial"/>
          <w:b/>
          <w:b/>
          <w:bCs/>
          <w:sz w:val="22"/>
          <w:szCs w:val="22"/>
        </w:rPr>
      </w:pPr>
      <w:r>
        <w:rPr>
          <w:rFonts w:cs="Arial" w:ascii="Arial" w:hAnsi="Arial"/>
          <w:b w:val="false"/>
          <w:bCs w:val="false"/>
          <w:sz w:val="22"/>
          <w:szCs w:val="22"/>
        </w:rPr>
        <w:t>- iskolalátogatási igazolás, amennyiben az egy háztartásban élő testvér közép, vagy felsőfokú oktatásban vesz részt.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állandó lakóhelye szerinti lakásban életvitelszerűen együttlakó, ott bejelentett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Lbjegyze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aa) </w:t>
      </w:r>
      <w:r>
        <w:rPr>
          <w:rFonts w:cs="Arial" w:ascii="Arial" w:hAnsi="Arial"/>
          <w:sz w:val="22"/>
          <w:szCs w:val="22"/>
        </w:rPr>
        <w:t>a személyi jövedelemadóról szóló 1995. évi CXVII. törvény (a továbbiakban: Szjatv.) szerint meghatározott, belföldről vagy külföldről származó - megszerzett - vagyoni érték (bevétel), ideértve az Szjatv. 1. számú melléklete szerinti adómentes bevételt</w:t>
      </w:r>
      <w:r>
        <w:rPr>
          <w:rFonts w:cs="Arial" w:ascii="Arial" w:hAnsi="Arial"/>
          <w:i/>
          <w:sz w:val="22"/>
          <w:szCs w:val="22"/>
        </w:rPr>
        <w:t>, és</w:t>
      </w:r>
    </w:p>
    <w:p>
      <w:pPr>
        <w:pStyle w:val="Normal"/>
        <w:ind w:left="900" w:hanging="191"/>
        <w:jc w:val="both"/>
        <w:rPr>
          <w:rFonts w:ascii="Arial" w:hAnsi="Arial" w:cs="Arial"/>
          <w:i/>
          <w:i/>
          <w:sz w:val="22"/>
          <w:szCs w:val="22"/>
        </w:rPr>
      </w:pPr>
      <w:r>
        <w:rPr>
          <w:rFonts w:cs="Arial" w:ascii="Arial" w:hAnsi="Arial"/>
          <w:i/>
          <w:sz w:val="22"/>
          <w:szCs w:val="22"/>
        </w:rPr>
        <w:t>- ab)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 magánszemélyt terhelő egyszerűsített közteherviselési hozzájárulás, társadalombiztosítási járulék, a nyugdíjjárulék, és az egészségügyi szolgáltatási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Szvegtrzs"/>
        <w:numPr>
          <w:ilvl w:val="0"/>
          <w:numId w:val="3"/>
        </w:numPr>
        <w:spacing w:before="120" w:after="0"/>
        <w:rPr>
          <w:rFonts w:ascii="Arial" w:hAnsi="Arial" w:cs="Arial"/>
          <w:i/>
          <w:i/>
          <w:sz w:val="22"/>
          <w:szCs w:val="22"/>
        </w:rPr>
      </w:pPr>
      <w:r>
        <w:rPr>
          <w:rFonts w:cs="Arial" w:ascii="Arial" w:hAnsi="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Szvegtrzs"/>
        <w:numPr>
          <w:ilvl w:val="0"/>
          <w:numId w:val="3"/>
        </w:numPr>
        <w:spacing w:before="120" w:after="0"/>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anyasági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nyugdíjprémium, az egyszeri juttatás, a tizenharmadik havi nyugdíj, a tizenharmadik havi ellátás és a szépkorúak jubileumi juttatása,</w:t>
      </w:r>
    </w:p>
    <w:p>
      <w:pPr>
        <w:pStyle w:val="Szvegtrzs"/>
        <w:numPr>
          <w:ilvl w:val="0"/>
          <w:numId w:val="3"/>
        </w:numPr>
        <w:spacing w:before="120" w:after="0"/>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 házi segítségnyújtás keretében társadalmi gondozásért kapott tiszteletdíj,</w:t>
      </w:r>
    </w:p>
    <w:p>
      <w:pPr>
        <w:pStyle w:val="Szvegtrzs"/>
        <w:numPr>
          <w:ilvl w:val="0"/>
          <w:numId w:val="3"/>
        </w:numPr>
        <w:spacing w:before="120" w:after="0"/>
        <w:rPr>
          <w:rFonts w:ascii="Arial" w:hAnsi="Arial" w:cs="Arial"/>
          <w:i/>
          <w:i/>
          <w:sz w:val="22"/>
          <w:szCs w:val="22"/>
        </w:rPr>
      </w:pPr>
      <w:r>
        <w:rPr>
          <w:rFonts w:cs="Arial" w:ascii="Arial" w:hAnsi="Arial"/>
          <w:i/>
          <w:sz w:val="22"/>
          <w:szCs w:val="22"/>
        </w:rPr>
        <w:t xml:space="preserve"> </w:t>
      </w:r>
      <w:r>
        <w:rPr>
          <w:rFonts w:cs="Arial" w:ascii="Arial" w:hAnsi="Arial"/>
          <w:i/>
          <w:sz w:val="22"/>
          <w:szCs w:val="22"/>
        </w:rPr>
        <w:t>az energiafelhasználáshoz nyújtott támogatás,</w:t>
      </w:r>
    </w:p>
    <w:p>
      <w:pPr>
        <w:pStyle w:val="Szvegtrzs"/>
        <w:numPr>
          <w:ilvl w:val="0"/>
          <w:numId w:val="3"/>
        </w:numPr>
        <w:spacing w:before="120" w:after="0"/>
        <w:rPr>
          <w:rFonts w:ascii="Arial" w:hAnsi="Arial" w:cs="Arial"/>
          <w:i/>
          <w:i/>
          <w:sz w:val="22"/>
          <w:szCs w:val="22"/>
        </w:rPr>
      </w:pPr>
      <w:r>
        <w:rPr>
          <w:rFonts w:cs="Arial" w:ascii="Arial" w:hAnsi="Arial"/>
          <w:i/>
          <w:sz w:val="22"/>
          <w:szCs w:val="22"/>
        </w:rPr>
        <w:t>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 személyi jövedelemadóról szóló törvény alapján adómentes bevétel,</w:t>
      </w:r>
    </w:p>
    <w:p>
      <w:pPr>
        <w:pStyle w:val="Szvegtrzs"/>
        <w:numPr>
          <w:ilvl w:val="0"/>
          <w:numId w:val="3"/>
        </w:numPr>
        <w:spacing w:before="120" w:after="0"/>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ind w:left="612" w:hanging="204"/>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jc w:val="both"/>
        <w:rPr>
          <w:rFonts w:ascii="Arial" w:hAnsi="Arial" w:cs="Arial"/>
          <w:sz w:val="22"/>
          <w:szCs w:val="22"/>
          <w:highlight w:val="lightGray"/>
        </w:rPr>
      </w:pPr>
      <w:r>
        <w:rPr>
          <w:rFonts w:cs="Arial" w:ascii="Arial" w:hAnsi="Arial"/>
          <w:sz w:val="22"/>
          <w:szCs w:val="22"/>
          <w:highlight w:val="lightGray"/>
        </w:rPr>
      </w:r>
    </w:p>
    <w:p>
      <w:pPr>
        <w:pStyle w:val="Normal"/>
        <w:jc w:val="both"/>
        <w:rPr>
          <w:rFonts w:ascii="Arial" w:hAnsi="Arial" w:cs="Arial"/>
          <w:sz w:val="22"/>
          <w:szCs w:val="22"/>
        </w:rPr>
      </w:pPr>
      <w:r>
        <w:rPr>
          <w:rFonts w:cs="Arial" w:ascii="Arial" w:hAnsi="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 GDPR értelmében és annak szabályai szerint. Az adatkezelésről, az adatkezeléssel kapcsolatos jogairól, az általa igénybe vehető jogorvoslati lehetőségekről részletes tájékoztatás található a Támogatáskezelő honlapján az Adatvédelmi tájékoztatóban az alábbi elérhetőségen:</w:t>
      </w:r>
    </w:p>
    <w:p>
      <w:pPr>
        <w:pStyle w:val="Normal"/>
        <w:jc w:val="both"/>
        <w:rPr>
          <w:rFonts w:ascii="Arial" w:hAnsi="Arial" w:cs="Arial"/>
          <w:sz w:val="22"/>
          <w:szCs w:val="22"/>
          <w:highlight w:val="lightGray"/>
        </w:rPr>
      </w:pPr>
      <w:r>
        <w:rPr>
          <w:rFonts w:cs="Arial" w:ascii="Arial" w:hAnsi="Arial"/>
          <w:sz w:val="22"/>
          <w:szCs w:val="22"/>
        </w:rPr>
        <w:t>https://emet.gov.hu/app/uploads/2021/01/Adatkezelesi-tajekoztato-palyazoknak_mod_2021.01.21..pdf</w:t>
      </w:r>
    </w:p>
    <w:p>
      <w:pPr>
        <w:pStyle w:val="Normal"/>
        <w:jc w:val="both"/>
        <w:rPr>
          <w:rFonts w:ascii="Arial" w:hAnsi="Arial" w:cs="Arial"/>
          <w:sz w:val="22"/>
          <w:szCs w:val="22"/>
          <w:highlight w:val="lightGray"/>
        </w:rPr>
      </w:pPr>
      <w:r>
        <w:rPr>
          <w:rFonts w:cs="Arial" w:ascii="Arial" w:hAnsi="Arial"/>
          <w:sz w:val="22"/>
          <w:szCs w:val="22"/>
          <w:highlight w:val="lightGray"/>
        </w:rPr>
      </w:r>
    </w:p>
    <w:p>
      <w:pPr>
        <w:pStyle w:val="Normal"/>
        <w:spacing w:before="120" w:after="0"/>
        <w:jc w:val="both"/>
        <w:rPr>
          <w:rFonts w:ascii="Arial" w:hAnsi="Arial" w:cs="Arial"/>
          <w:sz w:val="22"/>
          <w:szCs w:val="22"/>
        </w:rPr>
      </w:pPr>
      <w:r>
        <w:rPr>
          <w:rFonts w:cs="Arial" w:ascii="Arial" w:hAnsi="Arial"/>
          <w:sz w:val="22"/>
          <w:szCs w:val="22"/>
        </w:rPr>
      </w:r>
    </w:p>
    <w:p>
      <w:pPr>
        <w:pStyle w:val="Szvegtrzs"/>
        <w:rPr>
          <w:rFonts w:ascii="Arial" w:hAnsi="Arial" w:cs="Arial"/>
          <w:sz w:val="22"/>
          <w:szCs w:val="22"/>
        </w:rPr>
      </w:pPr>
      <w:r>
        <w:rPr>
          <w:rFonts w:cs="Arial" w:ascii="Arial" w:hAnsi="Arial"/>
          <w:sz w:val="22"/>
          <w:szCs w:val="22"/>
        </w:rPr>
        <w:t xml:space="preserve">A pályázók büntetőjogi felelősségük tudatában kijelentik, hogy a pályázati űrlap benyújtásakor felsőfokú végzettséggel nem rendelkeznek, felsőoktatási intézménybe még nem nyertek felvételt. </w:t>
      </w:r>
    </w:p>
    <w:p>
      <w:pPr>
        <w:pStyle w:val="Szvegtrzs"/>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beérkezett pályázatokat az illetékes települési önkormányzat bírálja el 2021. december </w:t>
        <w:br/>
        <w:t>6-ig:</w:t>
      </w:r>
    </w:p>
    <w:p>
      <w:pPr>
        <w:pStyle w:val="Normal"/>
        <w:jc w:val="both"/>
        <w:rPr>
          <w:rFonts w:ascii="Arial" w:hAnsi="Arial" w:cs="Arial"/>
          <w:sz w:val="22"/>
          <w:szCs w:val="22"/>
        </w:rPr>
      </w:pPr>
      <w:r>
        <w:rPr>
          <w:rFonts w:cs="Arial" w:ascii="Arial" w:hAnsi="Arial"/>
          <w:sz w:val="22"/>
          <w:szCs w:val="22"/>
        </w:rPr>
      </w:r>
    </w:p>
    <w:p>
      <w:pPr>
        <w:pStyle w:val="Normal"/>
        <w:ind w:left="426" w:hanging="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p>
    <w:p>
      <w:pPr>
        <w:pStyle w:val="Szvegtrzs"/>
        <w:spacing w:before="120" w:after="0"/>
        <w:ind w:left="420" w:hanging="0"/>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Szvegtrzs"/>
        <w:spacing w:before="120" w:after="0"/>
        <w:ind w:left="420" w:hanging="0"/>
        <w:rPr>
          <w:rFonts w:ascii="Arial" w:hAnsi="Arial" w:cs="Arial"/>
          <w:sz w:val="22"/>
          <w:szCs w:val="22"/>
        </w:rPr>
      </w:pPr>
      <w:r>
        <w:rPr>
          <w:rFonts w:cs="Arial" w:ascii="Arial" w:hAnsi="Arial"/>
          <w:sz w:val="22"/>
          <w:szCs w:val="22"/>
        </w:rPr>
        <w:t>c) az EPER-Bursa rendszerben nem rögzített, nem a rendszerből nyomtatott pályázati űrlapon, a határidőn túl benyújtott, vagy formailag nem megfelelő pályázatokat a bírálatból kizárja, és kizárását írásban indokolja;</w:t>
      </w:r>
    </w:p>
    <w:p>
      <w:pPr>
        <w:pStyle w:val="Szvegtrzs"/>
        <w:spacing w:before="120" w:after="0"/>
        <w:ind w:left="420" w:hanging="0"/>
        <w:rPr>
          <w:rFonts w:ascii="Arial" w:hAnsi="Arial" w:cs="Arial"/>
          <w:sz w:val="22"/>
          <w:szCs w:val="22"/>
        </w:rPr>
      </w:pPr>
      <w:r>
        <w:rPr>
          <w:rFonts w:cs="Arial" w:ascii="Arial" w:hAnsi="Arial"/>
          <w:sz w:val="22"/>
          <w:szCs w:val="22"/>
        </w:rPr>
        <w:t>d) minden, határidőn belül, postai úton vagy személyesen benyújtott pályázatot befogad, minden formailag megfelelő pályázatot érdemben elbírál, és döntését írásban indokolja;</w:t>
      </w:r>
    </w:p>
    <w:p>
      <w:pPr>
        <w:pStyle w:val="Szvegtrzs"/>
        <w:spacing w:before="120" w:after="0"/>
        <w:ind w:left="420" w:hanging="0"/>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Szvegtrzs"/>
        <w:spacing w:before="120" w:after="0"/>
        <w:ind w:left="420" w:hanging="0"/>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vizsgálatára tekintettel járhat 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Pr>
          <w:rFonts w:cs="Arial" w:ascii="Arial" w:hAnsi="Arial"/>
          <w:color w:val="000000"/>
          <w:sz w:val="22"/>
          <w:szCs w:val="22"/>
        </w:rPr>
        <w:t>A felmerült kifogással kapcsolatban az önkormányzat jegyzőjének haladéktalanul értesítenie kell a Támogatáskezelőt.</w:t>
      </w:r>
    </w:p>
    <w:p>
      <w:pPr>
        <w:pStyle w:val="Normal"/>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2021. december 8-ig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2022. január 17-ig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2022.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A pályázó</w:t>
      </w:r>
      <w:r>
        <w:rPr>
          <w:rFonts w:cs="Arial" w:ascii="Arial" w:hAnsi="Arial"/>
          <w:sz w:val="22"/>
          <w:szCs w:val="22"/>
        </w:rPr>
        <w:t xml:space="preserve"> </w:t>
      </w:r>
      <w:r>
        <w:rPr>
          <w:rFonts w:cs="Arial" w:ascii="Arial" w:hAnsi="Arial"/>
          <w:b/>
          <w:sz w:val="22"/>
          <w:szCs w:val="22"/>
        </w:rPr>
        <w:t>a felsőoktatási intézmény felvételi döntésről szóló határozata vagy a</w:t>
      </w:r>
      <w:r>
        <w:rPr>
          <w:rFonts w:cs="Arial" w:ascii="Arial" w:hAnsi="Arial"/>
          <w:b/>
          <w:bCs/>
          <w:sz w:val="22"/>
          <w:szCs w:val="22"/>
        </w:rPr>
        <w:t>z Oktatási Hivatal</w:t>
      </w:r>
      <w:r>
        <w:rPr>
          <w:rFonts w:cs="Arial" w:ascii="Arial" w:hAnsi="Arial"/>
          <w:b/>
          <w:sz w:val="22"/>
          <w:szCs w:val="22"/>
        </w:rPr>
        <w:t xml:space="preserve"> besorolási határozata</w:t>
      </w:r>
      <w:r>
        <w:rPr>
          <w:rFonts w:cs="Arial" w:ascii="Arial" w:hAnsi="Arial"/>
          <w:sz w:val="22"/>
          <w:szCs w:val="22"/>
        </w:rPr>
        <w:t xml:space="preserve"> </w:t>
      </w:r>
      <w:r>
        <w:rPr>
          <w:rFonts w:cs="Arial" w:ascii="Arial" w:hAnsi="Arial"/>
          <w:b/>
          <w:bCs/>
          <w:sz w:val="22"/>
          <w:szCs w:val="22"/>
        </w:rPr>
        <w:t>másolatának megküldésével köteles 2022. augusztus 31-ig a Támogatáskezelő részére bejelenteni, hogy a 2022/2023. tanévben melyik felsőoktatási intézményben kezdi meg tanulmányait. Továbbá a pályázó köteles nyilatkozni arról, hogy a 2022.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w:t>
      </w:r>
      <w:r>
        <w:rPr>
          <w:rFonts w:cs="Arial" w:ascii="Arial" w:hAnsi="Arial"/>
          <w:iCs/>
          <w:sz w:val="22"/>
          <w:szCs w:val="22"/>
        </w:rPr>
        <w:t>"B"</w:t>
      </w:r>
      <w:r>
        <w:rPr>
          <w:rFonts w:cs="Arial" w:ascii="Arial" w:hAnsi="Arial"/>
          <w:sz w:val="22"/>
          <w:szCs w:val="22"/>
        </w:rPr>
        <w:t xml:space="preserve"> típusú pályázat során támogatásban részesülő ösztöndíjas a támogatás időtartama alatt sikeresen pályázik </w:t>
      </w:r>
      <w:r>
        <w:rPr>
          <w:rFonts w:cs="Arial" w:ascii="Arial" w:hAnsi="Arial"/>
          <w:iCs/>
          <w:sz w:val="22"/>
          <w:szCs w:val="22"/>
        </w:rPr>
        <w:t>"A"</w:t>
      </w:r>
      <w:r>
        <w:rPr>
          <w:rFonts w:cs="Arial" w:ascii="Arial" w:hAnsi="Arial"/>
          <w:sz w:val="22"/>
          <w:szCs w:val="22"/>
        </w:rPr>
        <w:t xml:space="preserve"> típusú ösztöndíjra, </w:t>
      </w:r>
      <w:r>
        <w:rPr>
          <w:rFonts w:cs="Arial" w:ascii="Arial" w:hAnsi="Arial"/>
          <w:iCs/>
          <w:sz w:val="22"/>
          <w:szCs w:val="22"/>
        </w:rPr>
        <w:t>"B"</w:t>
      </w:r>
      <w:r>
        <w:rPr>
          <w:rFonts w:cs="Arial" w:ascii="Arial" w:hAnsi="Arial"/>
          <w:sz w:val="22"/>
          <w:szCs w:val="22"/>
        </w:rPr>
        <w:t xml:space="preserve"> típusú ösztöndíját automatikusan elveszti.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b/>
          <w:bCs/>
          <w:sz w:val="22"/>
          <w:szCs w:val="22"/>
        </w:rPr>
        <w:t xml:space="preserve">Az ösztöndíj-folyósítás feltétele, hogy a támogatott pályázó hallgatói jogviszonya a 2022/2023. tanév első félévében megfeleljen a pályázati kiírásnak. Amennyiben a támogatott pályázó hallgatói jogviszonya nem felel meg a pályázati kiírásnak, a támogatott az ösztöndíjra való jogosultságát elveszíti.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jogviszonnyal rendelkező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kormányrendelet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pPr>
        <w:pStyle w:val="Normal"/>
        <w:jc w:val="both"/>
        <w:rPr>
          <w:rFonts w:ascii="Arial" w:hAnsi="Arial" w:cs="Arial"/>
          <w:sz w:val="22"/>
          <w:szCs w:val="22"/>
        </w:rPr>
      </w:pPr>
      <w:r>
        <w:rPr>
          <w:rFonts w:cs="Arial" w:ascii="Arial" w:hAnsi="Arial"/>
          <w:sz w:val="22"/>
          <w:szCs w:val="22"/>
        </w:rPr>
      </w:r>
    </w:p>
    <w:p>
      <w:pPr>
        <w:pStyle w:val="Normal"/>
        <w:widowControl w:val="false"/>
        <w:jc w:val="both"/>
        <w:rPr>
          <w:rFonts w:ascii="Arial" w:hAnsi="Arial" w:cs="Arial"/>
          <w:sz w:val="22"/>
          <w:szCs w:val="22"/>
        </w:rPr>
      </w:pPr>
      <w:r>
        <w:rPr>
          <w:rFonts w:cs="Arial" w:ascii="Arial" w:hAnsi="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w:t>
      </w:r>
      <w:r>
        <w:rPr>
          <w:rFonts w:cs="Arial" w:ascii="Arial" w:hAnsi="Arial"/>
          <w:bCs/>
          <w:sz w:val="22"/>
          <w:szCs w:val="22"/>
        </w:rPr>
        <w:t>3x10 hónap, azaz hat egymást követő tanulmányi félév:</w:t>
      </w:r>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t>a 2022/2023. tanév, a 2023/2024. tanév és a 2024/2025. tanév.</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Cs/>
          <w:sz w:val="22"/>
          <w:szCs w:val="22"/>
        </w:rPr>
      </w:pPr>
      <w:r>
        <w:rPr>
          <w:rFonts w:cs="Arial" w:ascii="Arial" w:hAnsi="Arial"/>
          <w:bCs/>
          <w:sz w:val="22"/>
          <w:szCs w:val="22"/>
        </w:rPr>
        <w:t>Az ösztöndíj folyósításának kezdete a 2022/2023. tanév első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2022 októbere.</w:t>
      </w:r>
    </w:p>
    <w:p>
      <w:pPr>
        <w:pStyle w:val="Normal"/>
        <w:jc w:val="both"/>
        <w:rPr>
          <w:rFonts w:ascii="Arial" w:hAnsi="Arial" w:cs="Arial"/>
          <w:sz w:val="22"/>
          <w:szCs w:val="22"/>
        </w:rPr>
      </w:pPr>
      <w:r>
        <w:rPr>
          <w:rFonts w:cs="Arial" w:ascii="Arial" w:hAnsi="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ösztöndíjas a tanulmányi félév lezárását követően (június 30., január 31.) a jogosultsági bejegyzéssel kapcsolatos kifogást nem tehet, illetve a ki nem fizetett ösztöndíjára már nem tarthat igényt.</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
          <w:bCs/>
          <w:sz w:val="22"/>
          <w:szCs w:val="22"/>
          <w:u w:val="single"/>
        </w:rPr>
        <w:t>írásban</w:t>
      </w:r>
      <w:r>
        <w:rPr>
          <w:rFonts w:cs="Arial" w:ascii="Arial" w:hAnsi="Arial"/>
          <w:b/>
          <w:bCs/>
          <w:sz w:val="22"/>
          <w:szCs w:val="22"/>
        </w:rPr>
        <w:t xml:space="preserve"> értesíteni</w:t>
      </w:r>
      <w:r>
        <w:rPr>
          <w:rFonts w:cs="Arial" w:ascii="Arial" w:hAnsi="Arial"/>
          <w:sz w:val="22"/>
          <w:szCs w:val="22"/>
        </w:rPr>
        <w:t xml:space="preserve"> </w:t>
      </w:r>
      <w:r>
        <w:rPr>
          <w:rFonts w:cs="Arial" w:ascii="Arial" w:hAnsi="Arial"/>
          <w:b/>
          <w:bCs/>
          <w:sz w:val="22"/>
          <w:szCs w:val="22"/>
        </w:rPr>
        <w:t>a folyósító felsőoktatási intézményt és</w:t>
      </w:r>
      <w:r>
        <w:rPr>
          <w:rFonts w:cs="Arial" w:ascii="Arial" w:hAnsi="Arial"/>
          <w:sz w:val="22"/>
          <w:szCs w:val="22"/>
        </w:rPr>
        <w:t xml:space="preserve"> </w:t>
      </w:r>
      <w:r>
        <w:rPr>
          <w:rFonts w:cs="Arial" w:ascii="Arial" w:hAnsi="Arial"/>
          <w:b/>
          <w:bCs/>
          <w:sz w:val="22"/>
          <w:szCs w:val="22"/>
        </w:rPr>
        <w:t>a Támogatáskezelőt (1381 Budapest Pf. 1418)</w:t>
      </w:r>
      <w:r>
        <w:rPr>
          <w:rStyle w:val="Lbjegyzethorgony"/>
          <w:rFonts w:cs="Arial" w:ascii="Arial" w:hAnsi="Arial"/>
          <w:b/>
          <w:bCs/>
          <w:sz w:val="22"/>
          <w:szCs w:val="22"/>
        </w:rPr>
        <w:footnoteReference w:id="2"/>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2"/>
        </w:numPr>
        <w:jc w:val="both"/>
        <w:rPr>
          <w:rFonts w:ascii="Arial" w:hAnsi="Arial" w:cs="Arial"/>
          <w:b/>
          <w:b/>
          <w:sz w:val="22"/>
          <w:szCs w:val="22"/>
        </w:rPr>
      </w:pPr>
      <w:r>
        <w:rPr>
          <w:rFonts w:cs="Arial" w:ascii="Arial" w:hAnsi="Arial"/>
          <w:b/>
          <w:sz w:val="22"/>
          <w:szCs w:val="22"/>
        </w:rPr>
        <w:t>a tanulmányok szüneteltetése (halasztása)</w:t>
      </w:r>
    </w:p>
    <w:p>
      <w:pPr>
        <w:pStyle w:val="Normal"/>
        <w:numPr>
          <w:ilvl w:val="0"/>
          <w:numId w:val="2"/>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2"/>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2"/>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ösztöndíjas lemondhat a számára megítélt támogatásról, amit az EPER-Bursa rendszerben kezdeményezhet és az onnan letölthető Lemondó nyilatkozatot aláírva,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Szvegtrzs"/>
        <w:tabs>
          <w:tab w:val="clear" w:pos="708"/>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Szvegtrzs"/>
        <w:tabs>
          <w:tab w:val="clear" w:pos="708"/>
          <w:tab w:val="left" w:pos="0" w:leader="none"/>
        </w:tabs>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both"/>
        <w:rPr>
          <w:rFonts w:ascii="Arial" w:hAnsi="Arial" w:cs="Arial"/>
          <w:sz w:val="22"/>
          <w:szCs w:val="22"/>
        </w:rPr>
      </w:pPr>
      <w:r>
        <w:rPr>
          <w:rFonts w:cs="Arial" w:ascii="Arial" w:hAnsi="Arial"/>
          <w:sz w:val="22"/>
          <w:szCs w:val="22"/>
        </w:rPr>
        <w:t>A Támogatáskezelő elérhetőségei:</w:t>
      </w:r>
    </w:p>
    <w:p>
      <w:pPr>
        <w:pStyle w:val="Normal"/>
        <w:tabs>
          <w:tab w:val="clear" w:pos="708"/>
          <w:tab w:val="left" w:pos="0" w:leader="none"/>
        </w:tabs>
        <w:jc w:val="both"/>
        <w:rPr>
          <w:rFonts w:ascii="Arial" w:hAnsi="Arial" w:cs="Arial"/>
          <w:sz w:val="22"/>
          <w:szCs w:val="22"/>
        </w:rPr>
      </w:pPr>
      <w:r>
        <w:rPr>
          <w:rFonts w:cs="Arial" w:ascii="Arial" w:hAnsi="Arial"/>
          <w:sz w:val="22"/>
          <w:szCs w:val="22"/>
        </w:rPr>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clear" w:pos="708"/>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clear" w:pos="708"/>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clear" w:pos="708"/>
          <w:tab w:val="left" w:pos="0" w:leader="none"/>
        </w:tabs>
        <w:jc w:val="center"/>
        <w:rPr>
          <w:rFonts w:ascii="Arial" w:hAnsi="Arial" w:cs="Arial"/>
          <w:sz w:val="22"/>
          <w:szCs w:val="22"/>
        </w:rPr>
      </w:pPr>
      <w:r>
        <w:rPr>
          <w:rFonts w:cs="Arial" w:ascii="Arial" w:hAnsi="Arial"/>
          <w:sz w:val="22"/>
          <w:szCs w:val="22"/>
        </w:rPr>
        <w:t>Tel.: (06-1) 550-2700</w:t>
      </w:r>
    </w:p>
    <w:p>
      <w:pPr>
        <w:pStyle w:val="Normal"/>
        <w:tabs>
          <w:tab w:val="clear" w:pos="708"/>
          <w:tab w:val="left" w:pos="0" w:leader="none"/>
        </w:tabs>
        <w:jc w:val="center"/>
        <w:rPr>
          <w:rFonts w:ascii="Arial" w:hAnsi="Arial" w:cs="Arial"/>
          <w:sz w:val="22"/>
          <w:szCs w:val="22"/>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clear" w:pos="708"/>
          <w:tab w:val="left" w:pos="0" w:leader="none"/>
        </w:tabs>
        <w:jc w:val="center"/>
        <w:rPr>
          <w:rFonts w:ascii="Arial" w:hAnsi="Arial" w:cs="Arial"/>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Liberation Sans">
    <w:altName w:val="Arial"/>
    <w:charset w:val="ee"/>
    <w:family w:val="roman"/>
    <w:pitch w:val="variable"/>
  </w:font>
  <w:font w:name="Tahoma">
    <w:charset w:val="ee"/>
    <w:family w:val="roman"/>
    <w:pitch w:val="variable"/>
  </w:font>
  <w:font w:name="Arial">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81118697"/>
    </w:sdtPr>
    <w:sdtContent>
      <w:p>
        <w:pPr>
          <w:pStyle w:val="Llb"/>
          <w:jc w:val="center"/>
          <w:rPr>
            <w:rFonts w:ascii="Arial" w:hAnsi="Arial" w:cs="Arial"/>
            <w:sz w:val="20"/>
            <w:szCs w:val="20"/>
          </w:rPr>
        </w:pP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8</w:t>
        </w:r>
        <w:r>
          <w:rPr>
            <w:sz w:val="20"/>
            <w:szCs w:val="20"/>
            <w:rFonts w:cs="Arial" w:ascii="Arial" w:hAnsi="Arial"/>
          </w:rPr>
          <w:fldChar w:fldCharType="end"/>
        </w:r>
      </w:p>
    </w:sdtContent>
  </w:sdt>
  <w:p>
    <w:pPr>
      <w:pStyle w:val="Llb"/>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Lbjegyzet"/>
        <w:jc w:val="both"/>
        <w:rPr/>
      </w:pPr>
      <w:r>
        <w:rPr>
          <w:rStyle w:val="Lbjegyzetkarakterek"/>
        </w:rPr>
        <w:footnoteRef/>
      </w:r>
      <w:r>
        <w:rPr/>
        <w:t xml:space="preserve"> </w:t>
      </w:r>
      <w:r>
        <w:rPr>
          <w:rFonts w:cs="Arial" w:ascii="Arial" w:hAnsi="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lehetőségét. A modul alkalmazásával kapcsolatos felvilágosítás a Támogatáskezelő honlapján és Bursa Hungarica ügyfélszolgálatán érhető el.</w:t>
      </w:r>
    </w:p>
    <w:p>
      <w:pPr>
        <w:pStyle w:val="Lbjegyzet"/>
        <w:jc w:val="both"/>
        <w:rPr>
          <w:color w:val="FF0000"/>
        </w:rPr>
      </w:pPr>
      <w:r>
        <w:rPr>
          <w:color w:val="FF0000"/>
        </w:rPr>
      </w:r>
    </w:p>
    <w:p>
      <w:pPr>
        <w:pStyle w:val="Lbjegyzet"/>
        <w:rPr>
          <w:color w:val="FF0000"/>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OpenSymbol" w:hAnsi="OpenSymbol" w:cs="OpenSymbol" w:hint="default"/>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3">
    <w:lvl w:ilvl="0">
      <w:start w:val="1"/>
      <w:numFmt w:val="lowerLetter"/>
      <w:lvlText w:val="%1)"/>
      <w:lvlJc w:val="left"/>
      <w:pPr>
        <w:ind w:left="420" w:hanging="360"/>
      </w:pPr>
      <w:rPr>
        <w:rFonts w:cs="Fpi"/>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4">
    <w:lvl w:ilvl="0">
      <w:start w:val="2"/>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lvl w:ilvl="0">
      <w:start w:val="1"/>
      <w:numFmt w:val="bullet"/>
      <w:lvlText w:val=""/>
      <w:lvlJc w:val="left"/>
      <w:pPr>
        <w:ind w:left="1077" w:hanging="360"/>
      </w:pPr>
      <w:rPr>
        <w:rFonts w:ascii="Wingdings" w:hAnsi="Wingdings" w:cs="Wingdings" w:hint="default"/>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uiPriority="99" w:semiHidden="1" w:unhideWhenUsed="1"/>
    <w:lsdException w:name="annotation text" w:locked="1" w:uiPriority="99"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9285f"/>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Cmsor1">
    <w:name w:val="Heading 1"/>
    <w:basedOn w:val="Normal"/>
    <w:next w:val="Normal"/>
    <w:link w:val="Cmsor1Char"/>
    <w:qFormat/>
    <w:rsid w:val="0049285f"/>
    <w:pPr>
      <w:keepNext w:val="true"/>
      <w:jc w:val="center"/>
      <w:outlineLvl w:val="0"/>
    </w:pPr>
    <w:rPr>
      <w:rFonts w:ascii="Arial Narrow" w:hAnsi="Arial Narrow" w:cs="Fpi"/>
      <w:b/>
      <w:bCs/>
      <w:spacing w:val="20"/>
      <w:sz w:val="26"/>
    </w:rPr>
  </w:style>
  <w:style w:type="paragraph" w:styleId="Cmsor2">
    <w:name w:val="Heading 2"/>
    <w:basedOn w:val="Normal"/>
    <w:next w:val="Normal"/>
    <w:link w:val="Cmsor2Char"/>
    <w:qFormat/>
    <w:rsid w:val="0049285f"/>
    <w:pPr>
      <w:keepNext w:val="true"/>
      <w:jc w:val="center"/>
      <w:outlineLvl w:val="1"/>
    </w:pPr>
    <w:rPr>
      <w:rFonts w:ascii="Arial Narrow" w:hAnsi="Arial Narrow"/>
      <w:b/>
      <w:bCs/>
    </w:rPr>
  </w:style>
  <w:style w:type="paragraph" w:styleId="Cmsor3">
    <w:name w:val="Heading 3"/>
    <w:basedOn w:val="Normal"/>
    <w:next w:val="Normal"/>
    <w:link w:val="Cmsor3Char"/>
    <w:qFormat/>
    <w:rsid w:val="0049285f"/>
    <w:pPr>
      <w:keepNext w:val="true"/>
      <w:jc w:val="center"/>
      <w:outlineLvl w:val="2"/>
    </w:pPr>
    <w:rPr>
      <w:rFonts w:ascii="Arial Narrow" w:hAnsi="Arial Narrow"/>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cb754b"/>
    <w:rPr>
      <w:rFonts w:ascii="Cambria" w:hAnsi="Cambria" w:cs="Times New Roman"/>
      <w:b/>
      <w:bCs/>
      <w:kern w:val="2"/>
      <w:sz w:val="32"/>
      <w:szCs w:val="32"/>
    </w:rPr>
  </w:style>
  <w:style w:type="character" w:styleId="Cmsor2Char" w:customStyle="1">
    <w:name w:val="Címsor 2 Char"/>
    <w:basedOn w:val="DefaultParagraphFont"/>
    <w:link w:val="Cmsor2"/>
    <w:semiHidden/>
    <w:qFormat/>
    <w:locked/>
    <w:rsid w:val="00cb754b"/>
    <w:rPr>
      <w:rFonts w:ascii="Cambria" w:hAnsi="Cambria" w:cs="Times New Roman"/>
      <w:b/>
      <w:bCs/>
      <w:i/>
      <w:iCs/>
      <w:sz w:val="28"/>
      <w:szCs w:val="28"/>
    </w:rPr>
  </w:style>
  <w:style w:type="character" w:styleId="Cmsor3Char" w:customStyle="1">
    <w:name w:val="Címsor 3 Char"/>
    <w:basedOn w:val="DefaultParagraphFont"/>
    <w:link w:val="Cmsor3"/>
    <w:semiHidden/>
    <w:qFormat/>
    <w:locked/>
    <w:rsid w:val="00cb754b"/>
    <w:rPr>
      <w:rFonts w:ascii="Cambria" w:hAnsi="Cambria" w:cs="Times New Roman"/>
      <w:b/>
      <w:bCs/>
      <w:sz w:val="26"/>
      <w:szCs w:val="26"/>
    </w:rPr>
  </w:style>
  <w:style w:type="character" w:styleId="SzvegtrzsChar" w:customStyle="1">
    <w:name w:val="Szövegtörzs Char"/>
    <w:basedOn w:val="DefaultParagraphFont"/>
    <w:link w:val="Szvegtrzs"/>
    <w:qFormat/>
    <w:locked/>
    <w:rsid w:val="002b4481"/>
    <w:rPr>
      <w:rFonts w:cs="Times New Roman"/>
      <w:sz w:val="24"/>
      <w:szCs w:val="24"/>
    </w:rPr>
  </w:style>
  <w:style w:type="character" w:styleId="Internethivatkozs">
    <w:name w:val="Internet-hivatkozás"/>
    <w:basedOn w:val="DefaultParagraphFont"/>
    <w:uiPriority w:val="99"/>
    <w:rsid w:val="0049285f"/>
    <w:rPr>
      <w:rFonts w:cs="Times New Roman"/>
      <w:color w:val="0000FF"/>
      <w:u w:val="single"/>
    </w:rPr>
  </w:style>
  <w:style w:type="character" w:styleId="Szvegtrzs2Char" w:customStyle="1">
    <w:name w:val="Szövegtörzs 2 Char"/>
    <w:basedOn w:val="DefaultParagraphFont"/>
    <w:link w:val="Szvegtrzs2"/>
    <w:semiHidden/>
    <w:qFormat/>
    <w:locked/>
    <w:rsid w:val="00cb754b"/>
    <w:rPr>
      <w:rFonts w:cs="Times New Roman"/>
      <w:sz w:val="24"/>
      <w:szCs w:val="24"/>
    </w:rPr>
  </w:style>
  <w:style w:type="character" w:styleId="LbjegyzetszvegChar" w:customStyle="1">
    <w:name w:val="Lábjegyzetszöveg Char"/>
    <w:basedOn w:val="DefaultParagraphFont"/>
    <w:link w:val="Lbjegyzetszveg"/>
    <w:uiPriority w:val="99"/>
    <w:semiHidden/>
    <w:qFormat/>
    <w:locked/>
    <w:rsid w:val="00cb754b"/>
    <w:rPr>
      <w:rFonts w:cs="Times New Roman"/>
      <w:sz w:val="20"/>
      <w:szCs w:val="20"/>
    </w:rPr>
  </w:style>
  <w:style w:type="character" w:styleId="Megltogatottinternethivatkozs">
    <w:name w:val="Meglátogatott internet-hivatkozás"/>
    <w:basedOn w:val="DefaultParagraphFont"/>
    <w:rsid w:val="0049285f"/>
    <w:rPr>
      <w:rFonts w:cs="Times New Roman"/>
      <w:color w:val="800080"/>
      <w:u w:val="single"/>
    </w:rPr>
  </w:style>
  <w:style w:type="character" w:styleId="Szvegtrzs3Char" w:customStyle="1">
    <w:name w:val="Szövegtörzs 3 Char"/>
    <w:basedOn w:val="DefaultParagraphFont"/>
    <w:link w:val="Szvegtrzs3"/>
    <w:semiHidden/>
    <w:qFormat/>
    <w:locked/>
    <w:rsid w:val="00cb754b"/>
    <w:rPr>
      <w:rFonts w:cs="Times New Roman"/>
      <w:sz w:val="16"/>
      <w:szCs w:val="16"/>
    </w:rPr>
  </w:style>
  <w:style w:type="character" w:styleId="BuborkszvegChar" w:customStyle="1">
    <w:name w:val="Buborékszöveg Char"/>
    <w:basedOn w:val="DefaultParagraphFont"/>
    <w:link w:val="Buborkszveg"/>
    <w:semiHidden/>
    <w:qFormat/>
    <w:locked/>
    <w:rsid w:val="00cb754b"/>
    <w:rPr>
      <w:rFonts w:cs="Times New Roman"/>
      <w:sz w:val="2"/>
    </w:rPr>
  </w:style>
  <w:style w:type="character" w:styleId="DokumentumtrkpChar" w:customStyle="1">
    <w:name w:val="Dokumentumtérkép Char"/>
    <w:basedOn w:val="DefaultParagraphFont"/>
    <w:link w:val="Dokumentumtrkp"/>
    <w:semiHidden/>
    <w:qFormat/>
    <w:locked/>
    <w:rsid w:val="00cb754b"/>
    <w:rPr>
      <w:rFonts w:cs="Times New Roman"/>
      <w:sz w:val="2"/>
    </w:rPr>
  </w:style>
  <w:style w:type="character" w:styleId="Annotationreference">
    <w:name w:val="annotation reference"/>
    <w:basedOn w:val="DefaultParagraphFont"/>
    <w:uiPriority w:val="99"/>
    <w:qFormat/>
    <w:rsid w:val="00675a07"/>
    <w:rPr>
      <w:rFonts w:cs="Times New Roman"/>
      <w:sz w:val="16"/>
      <w:szCs w:val="16"/>
    </w:rPr>
  </w:style>
  <w:style w:type="character" w:styleId="JegyzetszvegChar" w:customStyle="1">
    <w:name w:val="Jegyzetszöveg Char"/>
    <w:basedOn w:val="DefaultParagraphFont"/>
    <w:link w:val="Jegyzetszveg"/>
    <w:uiPriority w:val="99"/>
    <w:qFormat/>
    <w:locked/>
    <w:rsid w:val="00675a07"/>
    <w:rPr>
      <w:rFonts w:cs="Times New Roman"/>
    </w:rPr>
  </w:style>
  <w:style w:type="character" w:styleId="MegjegyzstrgyaChar" w:customStyle="1">
    <w:name w:val="Megjegyzés tárgya Char"/>
    <w:basedOn w:val="JegyzetszvegChar"/>
    <w:link w:val="Megjegyzstrgya"/>
    <w:qFormat/>
    <w:locked/>
    <w:rsid w:val="00675a07"/>
    <w:rPr>
      <w:rFonts w:cs="Times New Roman"/>
      <w:b/>
      <w:bCs/>
    </w:rPr>
  </w:style>
  <w:style w:type="character" w:styleId="Strong">
    <w:name w:val="Strong"/>
    <w:basedOn w:val="DefaultParagraphFont"/>
    <w:qFormat/>
    <w:locked/>
    <w:rsid w:val="00a90f09"/>
    <w:rPr>
      <w:rFonts w:cs="Times New Roman"/>
      <w:b/>
      <w:bCs/>
    </w:rPr>
  </w:style>
  <w:style w:type="character" w:styleId="LfejChar" w:customStyle="1">
    <w:name w:val="Élőfej Char"/>
    <w:basedOn w:val="DefaultParagraphFont"/>
    <w:link w:val="lfej"/>
    <w:qFormat/>
    <w:rsid w:val="00f51bb6"/>
    <w:rPr>
      <w:sz w:val="24"/>
      <w:szCs w:val="24"/>
    </w:rPr>
  </w:style>
  <w:style w:type="character" w:styleId="LlbChar" w:customStyle="1">
    <w:name w:val="Élőláb Char"/>
    <w:basedOn w:val="DefaultParagraphFont"/>
    <w:link w:val="llb"/>
    <w:qFormat/>
    <w:rsid w:val="00f51bb6"/>
    <w:rPr>
      <w:sz w:val="24"/>
      <w:szCs w:val="24"/>
    </w:rPr>
  </w:style>
  <w:style w:type="character" w:styleId="Lbjegyzethorgony">
    <w:name w:val="Lábjegyzet-horgony"/>
    <w:rPr>
      <w:vertAlign w:val="superscript"/>
    </w:rPr>
  </w:style>
  <w:style w:type="character" w:styleId="FootnoteCharacters">
    <w:name w:val="Footnote Characters"/>
    <w:basedOn w:val="DefaultParagraphFont"/>
    <w:semiHidden/>
    <w:unhideWhenUsed/>
    <w:qFormat/>
    <w:rsid w:val="00cc4277"/>
    <w:rPr>
      <w:vertAlign w:val="superscript"/>
    </w:rPr>
  </w:style>
  <w:style w:type="character" w:styleId="Lbjegyzetkarakterek">
    <w:name w:val="Lábjegyzet-karakterek"/>
    <w:qFormat/>
    <w:rPr/>
  </w:style>
  <w:style w:type="character" w:styleId="Vgjegyzethorgony">
    <w:name w:val="Végjegyzet-horgony"/>
    <w:rPr>
      <w:vertAlign w:val="superscript"/>
    </w:rPr>
  </w:style>
  <w:style w:type="character" w:styleId="Vgjegyzetkarakterek">
    <w:name w:val="Végjegyzet-karakterek"/>
    <w:qFormat/>
    <w:rPr/>
  </w:style>
  <w:style w:type="paragraph" w:styleId="Cmsor">
    <w:name w:val="Címsor"/>
    <w:basedOn w:val="Normal"/>
    <w:next w:val="Szvegtrzs"/>
    <w:qFormat/>
    <w:pPr>
      <w:keepNext w:val="true"/>
      <w:spacing w:before="240" w:after="120"/>
    </w:pPr>
    <w:rPr>
      <w:rFonts w:ascii="Liberation Sans" w:hAnsi="Liberation Sans" w:eastAsia="Microsoft YaHei" w:cs="Arial"/>
      <w:sz w:val="28"/>
      <w:szCs w:val="28"/>
    </w:rPr>
  </w:style>
  <w:style w:type="paragraph" w:styleId="Szvegtrzs">
    <w:name w:val="Body Text"/>
    <w:basedOn w:val="Normal"/>
    <w:link w:val="SzvegtrzsChar"/>
    <w:rsid w:val="0049285f"/>
    <w:pPr>
      <w:jc w:val="both"/>
    </w:pPr>
    <w:rPr/>
  </w:style>
  <w:style w:type="paragraph" w:styleId="Lista">
    <w:name w:val="List"/>
    <w:basedOn w:val="Szvegtrzs"/>
    <w:pPr/>
    <w:rPr>
      <w:rFonts w:cs="Arial"/>
    </w:rPr>
  </w:style>
  <w:style w:type="paragraph" w:styleId="Felirat">
    <w:name w:val="Caption"/>
    <w:basedOn w:val="Normal"/>
    <w:qFormat/>
    <w:pPr>
      <w:suppressLineNumbers/>
      <w:spacing w:before="120" w:after="120"/>
    </w:pPr>
    <w:rPr>
      <w:rFonts w:cs="Arial"/>
      <w:i/>
      <w:iCs/>
      <w:sz w:val="24"/>
      <w:szCs w:val="24"/>
    </w:rPr>
  </w:style>
  <w:style w:type="paragraph" w:styleId="Trgymutat">
    <w:name w:val="Tárgymutató"/>
    <w:basedOn w:val="Normal"/>
    <w:qFormat/>
    <w:pPr>
      <w:suppressLineNumbers/>
    </w:pPr>
    <w:rPr>
      <w:rFonts w:cs="Arial"/>
    </w:rPr>
  </w:style>
  <w:style w:type="paragraph" w:styleId="BodyText2">
    <w:name w:val="Body Text 2"/>
    <w:basedOn w:val="Normal"/>
    <w:link w:val="Szvegtrzs2Char"/>
    <w:qFormat/>
    <w:rsid w:val="0049285f"/>
    <w:pPr>
      <w:jc w:val="both"/>
    </w:pPr>
    <w:rPr>
      <w:rFonts w:ascii="Arial Narrow" w:hAnsi="Arial Narrow" w:cs="Fpi"/>
      <w:b/>
      <w:bCs/>
      <w:sz w:val="22"/>
    </w:rPr>
  </w:style>
  <w:style w:type="paragraph" w:styleId="Lbjegyzet">
    <w:name w:val="Footnote Text"/>
    <w:basedOn w:val="Normal"/>
    <w:link w:val="LbjegyzetszvegChar"/>
    <w:uiPriority w:val="99"/>
    <w:semiHidden/>
    <w:rsid w:val="0049285f"/>
    <w:pPr/>
    <w:rPr>
      <w:sz w:val="20"/>
      <w:szCs w:val="20"/>
    </w:rPr>
  </w:style>
  <w:style w:type="paragraph" w:styleId="BodyText3">
    <w:name w:val="Body Text 3"/>
    <w:basedOn w:val="Normal"/>
    <w:link w:val="Szvegtrzs3Char"/>
    <w:qFormat/>
    <w:rsid w:val="0049285f"/>
    <w:pPr>
      <w:jc w:val="both"/>
    </w:pPr>
    <w:rPr>
      <w:rFonts w:ascii="Arial Narrow" w:hAnsi="Arial Narrow"/>
      <w:b/>
      <w:bCs/>
    </w:rPr>
  </w:style>
  <w:style w:type="paragraph" w:styleId="BalloonText">
    <w:name w:val="Balloon Text"/>
    <w:basedOn w:val="Normal"/>
    <w:link w:val="BuborkszvegChar"/>
    <w:semiHidden/>
    <w:qFormat/>
    <w:rsid w:val="003d5ecc"/>
    <w:pPr/>
    <w:rPr>
      <w:rFonts w:ascii="Tahoma" w:hAnsi="Tahoma" w:cs="Tahoma"/>
      <w:sz w:val="16"/>
      <w:szCs w:val="16"/>
    </w:rPr>
  </w:style>
  <w:style w:type="paragraph" w:styleId="DocumentMap">
    <w:name w:val="Document Map"/>
    <w:basedOn w:val="Normal"/>
    <w:link w:val="DokumentumtrkpChar"/>
    <w:semiHidden/>
    <w:qFormat/>
    <w:rsid w:val="00d4603e"/>
    <w:pPr>
      <w:shd w:val="clear" w:color="auto" w:fill="000080"/>
    </w:pPr>
    <w:rPr>
      <w:rFonts w:ascii="Tahoma" w:hAnsi="Tahoma" w:cs="Tahoma"/>
      <w:sz w:val="20"/>
      <w:szCs w:val="20"/>
    </w:rPr>
  </w:style>
  <w:style w:type="paragraph" w:styleId="Annotationtext">
    <w:name w:val="annotation text"/>
    <w:basedOn w:val="Normal"/>
    <w:link w:val="JegyzetszvegChar"/>
    <w:uiPriority w:val="99"/>
    <w:qFormat/>
    <w:rsid w:val="00675a07"/>
    <w:pPr/>
    <w:rPr>
      <w:sz w:val="20"/>
      <w:szCs w:val="20"/>
    </w:rPr>
  </w:style>
  <w:style w:type="paragraph" w:styleId="Annotationsubject">
    <w:name w:val="annotation subject"/>
    <w:basedOn w:val="Annotationtext"/>
    <w:next w:val="Annotationtext"/>
    <w:link w:val="MegjegyzstrgyaChar"/>
    <w:qFormat/>
    <w:rsid w:val="00675a07"/>
    <w:pPr/>
    <w:rPr>
      <w:b/>
      <w:bCs/>
    </w:rPr>
  </w:style>
  <w:style w:type="paragraph" w:styleId="Listaszerbekezds1" w:customStyle="1">
    <w:name w:val="Listaszerű bekezdés1"/>
    <w:basedOn w:val="Normal"/>
    <w:qFormat/>
    <w:rsid w:val="007b4ffd"/>
    <w:pPr>
      <w:spacing w:before="0" w:after="0"/>
      <w:ind w:left="720" w:hanging="0"/>
      <w:contextualSpacing/>
    </w:pPr>
    <w:rPr/>
  </w:style>
  <w:style w:type="paragraph" w:styleId="ListParagraph">
    <w:name w:val="List Paragraph"/>
    <w:basedOn w:val="Normal"/>
    <w:uiPriority w:val="99"/>
    <w:qFormat/>
    <w:rsid w:val="00114bbc"/>
    <w:pPr>
      <w:spacing w:before="0" w:after="0"/>
      <w:ind w:left="720" w:hanging="0"/>
      <w:contextualSpacing/>
    </w:pPr>
    <w:rPr/>
  </w:style>
  <w:style w:type="paragraph" w:styleId="Default" w:customStyle="1">
    <w:name w:val="Default"/>
    <w:qFormat/>
    <w:rsid w:val="0050488d"/>
    <w:pPr>
      <w:widowControl/>
      <w:bidi w:val="0"/>
      <w:spacing w:before="0" w:after="0"/>
      <w:jc w:val="left"/>
    </w:pPr>
    <w:rPr>
      <w:rFonts w:ascii="Times New Roman" w:hAnsi="Times New Roman" w:eastAsia="Times New Roman" w:cs="Times New Roman"/>
      <w:color w:val="000000"/>
      <w:kern w:val="0"/>
      <w:sz w:val="24"/>
      <w:szCs w:val="24"/>
      <w:lang w:val="hu-HU" w:eastAsia="hu-HU" w:bidi="ar-SA"/>
    </w:rPr>
  </w:style>
  <w:style w:type="paragraph" w:styleId="Lfejsllb">
    <w:name w:val="Élőfej és élőláb"/>
    <w:basedOn w:val="Normal"/>
    <w:qFormat/>
    <w:pPr/>
    <w:rPr/>
  </w:style>
  <w:style w:type="paragraph" w:styleId="Lfej">
    <w:name w:val="Header"/>
    <w:basedOn w:val="Normal"/>
    <w:link w:val="lfejChar"/>
    <w:unhideWhenUsed/>
    <w:rsid w:val="00f51bb6"/>
    <w:pPr>
      <w:tabs>
        <w:tab w:val="clear" w:pos="708"/>
        <w:tab w:val="center" w:pos="4536" w:leader="none"/>
        <w:tab w:val="right" w:pos="9072" w:leader="none"/>
      </w:tabs>
    </w:pPr>
    <w:rPr/>
  </w:style>
  <w:style w:type="paragraph" w:styleId="Llb">
    <w:name w:val="Footer"/>
    <w:basedOn w:val="Normal"/>
    <w:link w:val="llbChar"/>
    <w:unhideWhenUsed/>
    <w:rsid w:val="00f51bb6"/>
    <w:pPr>
      <w:tabs>
        <w:tab w:val="clear" w:pos="708"/>
        <w:tab w:val="center" w:pos="4536" w:leader="none"/>
        <w:tab w:val="right" w:pos="9072" w:leader="none"/>
      </w:tabs>
    </w:pPr>
    <w:rPr/>
  </w:style>
  <w:style w:type="paragraph" w:styleId="Revision">
    <w:name w:val="Revision"/>
    <w:uiPriority w:val="99"/>
    <w:semiHidden/>
    <w:qFormat/>
    <w:rsid w:val="006b10e9"/>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paragraph" w:styleId="NoSpacing">
    <w:name w:val="No Spacing"/>
    <w:uiPriority w:val="1"/>
    <w:qFormat/>
    <w:rsid w:val="00c42553"/>
    <w:pPr>
      <w:widowControl/>
      <w:bidi w:val="0"/>
      <w:spacing w:before="0" w:after="0"/>
      <w:jc w:val="left"/>
    </w:pPr>
    <w:rPr>
      <w:rFonts w:ascii="Times New Roman" w:hAnsi="Times New Roman" w:eastAsia="Times New Roman" w:cs="Times New Roman"/>
      <w:color w:val="auto"/>
      <w:kern w:val="0"/>
      <w:sz w:val="24"/>
      <w:szCs w:val="24"/>
      <w:lang w:val="hu-HU" w:eastAsia="hu-HU"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LibreOffice/6.4.0.3$Windows_X86_64 LibreOffice_project/b0a288ab3d2d4774cb44b62f04d5d28733ac6df8</Application>
  <Pages>8</Pages>
  <Words>3013</Words>
  <Characters>22012</Characters>
  <CharactersWithSpaces>24885</CharactersWithSpaces>
  <Paragraphs>136</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2021-09-08T09:06:00Z</dcterms:created>
  <dc:creator>szekelyt</dc:creator>
  <dc:description/>
  <dc:language>hu-HU</dc:language>
  <cp:lastModifiedBy/>
  <cp:lastPrinted>2021-07-30T06:26:00Z</cp:lastPrinted>
  <dcterms:modified xsi:type="dcterms:W3CDTF">2021-09-29T12:32:57Z</dcterms:modified>
  <cp:revision>4</cp:revision>
  <dc:subject/>
  <dc:title>"B"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FPI</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